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FF714" w14:textId="01F66C20" w:rsidR="007B263F" w:rsidRPr="00801F1C" w:rsidRDefault="007B263F" w:rsidP="007B263F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01F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Design and in-situ construction of hydrogel electrolytes and manganese dioxide cathodes toward simplified, stable, and wide-temperature aqueous zinc-ion batteries</w:t>
      </w:r>
    </w:p>
    <w:p w14:paraId="1670FB21" w14:textId="77777777" w:rsidR="007B263F" w:rsidRDefault="007B263F" w:rsidP="007B263F">
      <w:pPr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708FC3" w14:textId="659EC178" w:rsidR="007B263F" w:rsidRPr="007B263F" w:rsidRDefault="007B263F" w:rsidP="007B263F">
      <w:pPr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7B263F">
        <w:rPr>
          <w:rFonts w:ascii="Times New Roman" w:eastAsia="Times New Roman" w:hAnsi="Times New Roman" w:cs="Times New Roman"/>
          <w:kern w:val="0"/>
          <w14:ligatures w14:val="none"/>
        </w:rPr>
        <w:t>Aqueous zinc-ion batteries have emerged as promising candidates for safe, low-cost, and sustainable energy storage; however, their practical development remains hindered by complex electrode fabrication and interfacial instability. A new method for the fabrication of AZIB full cells, including pouch cells, is proposed by taking advantage of the sol–gel transition of the PVANF hydrogel electrolyte combined with a conventionally prepared MnO</w:t>
      </w:r>
      <w:r w:rsidRPr="007B263F">
        <w:rPr>
          <w:rFonts w:ascii="Times New Roman" w:eastAsia="SimSun" w:hAnsi="Times New Roman" w:cs="Times New Roman"/>
          <w:kern w:val="0"/>
          <w:vertAlign w:val="subscript"/>
          <w14:ligatures w14:val="none"/>
        </w:rPr>
        <w:t>2</w:t>
      </w:r>
      <w:r w:rsidRPr="007B263F">
        <w:rPr>
          <w:rFonts w:ascii="Times New Roman" w:eastAsia="Times New Roman" w:hAnsi="Times New Roman" w:cs="Times New Roman"/>
          <w:kern w:val="0"/>
          <w14:ligatures w14:val="none"/>
        </w:rPr>
        <w:t xml:space="preserve"> cathode. The PVANF hydrogel exhibited a high ionic conductivity of 19.7 mS cm</w:t>
      </w:r>
      <w:r w:rsidRPr="007B263F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–</w:t>
      </w:r>
      <w:r w:rsidRPr="007B263F">
        <w:rPr>
          <w:rFonts w:ascii="Times New Roman" w:eastAsia="SimSun" w:hAnsi="Times New Roman" w:cs="Times New Roman"/>
          <w:kern w:val="0"/>
          <w:vertAlign w:val="superscript"/>
          <w14:ligatures w14:val="none"/>
        </w:rPr>
        <w:t>1</w:t>
      </w:r>
      <w:r w:rsidRPr="007B263F">
        <w:rPr>
          <w:rFonts w:ascii="Times New Roman" w:eastAsia="Times New Roman" w:hAnsi="Times New Roman" w:cs="Times New Roman"/>
          <w:kern w:val="0"/>
          <w14:ligatures w14:val="none"/>
        </w:rPr>
        <w:t xml:space="preserve"> and enabled stable Zn plating/stripping for over 1000 h, owing to its optimized network structure and balanced composition. The full cell with MnO</w:t>
      </w:r>
      <w:r w:rsidRPr="007B263F">
        <w:rPr>
          <w:rFonts w:ascii="Times New Roman" w:eastAsia="SimSun" w:hAnsi="Times New Roman" w:cs="Times New Roman"/>
          <w:kern w:val="0"/>
          <w:vertAlign w:val="subscript"/>
          <w14:ligatures w14:val="none"/>
        </w:rPr>
        <w:t>2</w:t>
      </w:r>
      <w:r w:rsidRPr="007B263F">
        <w:rPr>
          <w:rFonts w:ascii="Times New Roman" w:eastAsia="Times New Roman" w:hAnsi="Times New Roman" w:cs="Times New Roman"/>
          <w:kern w:val="0"/>
          <w14:ligatures w14:val="none"/>
        </w:rPr>
        <w:t xml:space="preserve"> cathode delivered a high capacity and retained 50 </w:t>
      </w:r>
      <w:proofErr w:type="spellStart"/>
      <w:r w:rsidRPr="007B263F">
        <w:rPr>
          <w:rFonts w:ascii="Times New Roman" w:eastAsia="Times New Roman" w:hAnsi="Times New Roman" w:cs="Times New Roman"/>
          <w:kern w:val="0"/>
          <w14:ligatures w14:val="none"/>
        </w:rPr>
        <w:t>mAh</w:t>
      </w:r>
      <w:proofErr w:type="spellEnd"/>
      <w:r w:rsidRPr="007B263F">
        <w:rPr>
          <w:rFonts w:ascii="Times New Roman" w:eastAsia="Times New Roman" w:hAnsi="Times New Roman" w:cs="Times New Roman"/>
          <w:kern w:val="0"/>
          <w14:ligatures w14:val="none"/>
        </w:rPr>
        <w:t xml:space="preserve"> g</w:t>
      </w:r>
      <w:r w:rsidRPr="007B263F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–</w:t>
      </w:r>
      <w:r w:rsidRPr="007B263F">
        <w:rPr>
          <w:rFonts w:ascii="Times New Roman" w:eastAsia="SimSun" w:hAnsi="Times New Roman" w:cs="Times New Roman"/>
          <w:kern w:val="0"/>
          <w:vertAlign w:val="superscript"/>
          <w14:ligatures w14:val="none"/>
        </w:rPr>
        <w:t>1</w:t>
      </w:r>
      <w:r w:rsidRPr="007B263F">
        <w:rPr>
          <w:rFonts w:ascii="Times New Roman" w:eastAsia="Times New Roman" w:hAnsi="Times New Roman" w:cs="Times New Roman"/>
          <w:kern w:val="0"/>
          <w14:ligatures w14:val="none"/>
        </w:rPr>
        <w:t xml:space="preserve"> after 3500 cycles at 10C, demonstrating excellent rate capability and long-term stability. Furthermore, we developed a simplified and efficient strategy that integrates in-situ hydrogel electrolyte formation with in-situ MnO</w:t>
      </w:r>
      <w:r w:rsidRPr="007B263F">
        <w:rPr>
          <w:rFonts w:ascii="Times New Roman" w:eastAsia="SimSun" w:hAnsi="Times New Roman" w:cs="Times New Roman"/>
          <w:kern w:val="0"/>
          <w:vertAlign w:val="subscript"/>
          <w14:ligatures w14:val="none"/>
        </w:rPr>
        <w:t>2</w:t>
      </w:r>
      <w:r w:rsidRPr="007B263F">
        <w:rPr>
          <w:rFonts w:ascii="Times New Roman" w:eastAsia="SimSun" w:hAnsi="Times New Roman" w:cs="Times New Roman"/>
          <w:kern w:val="0"/>
          <w14:ligatures w14:val="none"/>
        </w:rPr>
        <w:t xml:space="preserve"> </w:t>
      </w:r>
      <w:r w:rsidRPr="007B263F">
        <w:rPr>
          <w:rFonts w:ascii="Times New Roman" w:eastAsia="Times New Roman" w:hAnsi="Times New Roman" w:cs="Times New Roman"/>
          <w:kern w:val="0"/>
          <w14:ligatures w14:val="none"/>
        </w:rPr>
        <w:t>electrodeposition to streamline the assembly process and enhance battery performance. A dual-network ANF-</w:t>
      </w:r>
      <w:proofErr w:type="spellStart"/>
      <w:r w:rsidRPr="007B263F">
        <w:rPr>
          <w:rFonts w:ascii="Times New Roman" w:eastAsia="Times New Roman" w:hAnsi="Times New Roman" w:cs="Times New Roman"/>
          <w:kern w:val="0"/>
          <w14:ligatures w14:val="none"/>
        </w:rPr>
        <w:t>PxA</w:t>
      </w:r>
      <w:proofErr w:type="spellEnd"/>
      <w:r w:rsidRPr="007B263F">
        <w:rPr>
          <w:rFonts w:ascii="Times New Roman" w:eastAsia="Times New Roman" w:hAnsi="Times New Roman" w:cs="Times New Roman"/>
          <w:kern w:val="0"/>
          <w14:ligatures w14:val="none"/>
        </w:rPr>
        <w:t xml:space="preserve"> hydrogel (aramid nanofiber reinforced </w:t>
      </w:r>
      <w:proofErr w:type="gramStart"/>
      <w:r w:rsidRPr="007B263F">
        <w:rPr>
          <w:rFonts w:ascii="Times New Roman" w:eastAsia="Times New Roman" w:hAnsi="Times New Roman" w:cs="Times New Roman"/>
          <w:kern w:val="0"/>
          <w14:ligatures w14:val="none"/>
        </w:rPr>
        <w:t>poly(</w:t>
      </w:r>
      <w:proofErr w:type="gramEnd"/>
      <w:r w:rsidRPr="007B263F">
        <w:rPr>
          <w:rFonts w:ascii="Times New Roman" w:eastAsia="Times New Roman" w:hAnsi="Times New Roman" w:cs="Times New Roman"/>
          <w:kern w:val="0"/>
          <w14:ligatures w14:val="none"/>
        </w:rPr>
        <w:t>acrylamide-co-acrylic acid)) was designed as a quasi-solid electrolyte, featuring high ionic conductivity, robust mechanical strength, and stable Zn plating/stripping behavior over 800 h even at –30 °C. The incorporation of DMSO as a co-solvent improved low-temperature tolerance and maintained interfacial stability. For the cathode, MnO</w:t>
      </w:r>
      <w:r w:rsidRPr="007B263F">
        <w:rPr>
          <w:rFonts w:ascii="Times New Roman" w:eastAsia="SimSun" w:hAnsi="Times New Roman" w:cs="Times New Roman"/>
          <w:kern w:val="0"/>
          <w:vertAlign w:val="subscript"/>
          <w14:ligatures w14:val="none"/>
        </w:rPr>
        <w:t>2</w:t>
      </w:r>
      <w:r w:rsidRPr="007B263F">
        <w:rPr>
          <w:rFonts w:ascii="Times New Roman" w:eastAsia="Times New Roman" w:hAnsi="Times New Roman" w:cs="Times New Roman"/>
          <w:kern w:val="0"/>
          <w14:ligatures w14:val="none"/>
        </w:rPr>
        <w:t xml:space="preserve"> was directly electrodeposited on current collectors through a one-step constant current and constant voltage activation during the initial charge. In this way, conventional slurry preparation, coating, and drying steps can be eliminated. By systematic optimization of Mn</w:t>
      </w:r>
      <w:r w:rsidRPr="007B263F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2+</w:t>
      </w:r>
      <w:r w:rsidRPr="007B263F">
        <w:rPr>
          <w:rFonts w:ascii="Times New Roman" w:eastAsia="Times New Roman" w:hAnsi="Times New Roman" w:cs="Times New Roman"/>
          <w:kern w:val="0"/>
          <w14:ligatures w14:val="none"/>
        </w:rPr>
        <w:t xml:space="preserve"> concentration and deposition time, well-interconnected MnO</w:t>
      </w:r>
      <w:r w:rsidRPr="007B263F">
        <w:rPr>
          <w:rFonts w:ascii="Times New Roman" w:eastAsia="SimSun" w:hAnsi="Times New Roman" w:cs="Times New Roman"/>
          <w:kern w:val="0"/>
          <w:vertAlign w:val="subscript"/>
          <w14:ligatures w14:val="none"/>
        </w:rPr>
        <w:t>2</w:t>
      </w:r>
      <w:r w:rsidRPr="007B263F">
        <w:rPr>
          <w:rFonts w:ascii="Times New Roman" w:eastAsia="Times New Roman" w:hAnsi="Times New Roman" w:cs="Times New Roman"/>
          <w:kern w:val="0"/>
          <w14:ligatures w14:val="none"/>
        </w:rPr>
        <w:t xml:space="preserve"> nanoflake film with superior electrochemical performance was achieved. </w:t>
      </w:r>
      <w:r w:rsidRPr="007B263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 resulting Zn/MnO</w:t>
      </w:r>
      <w:r w:rsidRPr="007B263F">
        <w:rPr>
          <w:rFonts w:ascii="Times New Roman" w:eastAsia="SimSun" w:hAnsi="Times New Roman" w:cs="Times New Roman"/>
          <w:kern w:val="0"/>
          <w:vertAlign w:val="subscript"/>
          <w14:ligatures w14:val="none"/>
        </w:rPr>
        <w:t>2</w:t>
      </w:r>
      <w:r w:rsidRPr="007B263F">
        <w:rPr>
          <w:rFonts w:ascii="Times New Roman" w:eastAsia="Times New Roman" w:hAnsi="Times New Roman" w:cs="Times New Roman"/>
          <w:kern w:val="0"/>
          <w14:ligatures w14:val="none"/>
        </w:rPr>
        <w:t xml:space="preserve"> full cells exhibited high reversibility, superior rate performance and extended cycle life. This integrated in-situ fabrication approach not only simplifies electrode assembly but also ensures strong electrode/electrolyte interfacial contact, leading to enhanced structural integrity and electrochemical efficiency. Overall, this study provides a practical route toward scalable, high-performance AZIBs and highlights the potential of in-situ material formation for next-generation aqueous battery technologies.</w:t>
      </w:r>
    </w:p>
    <w:p w14:paraId="0C8261B9" w14:textId="5645C1B4" w:rsidR="00926623" w:rsidRDefault="00926623" w:rsidP="00257436"/>
    <w:sectPr w:rsidR="009266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A79"/>
    <w:rsid w:val="00257436"/>
    <w:rsid w:val="002B50A3"/>
    <w:rsid w:val="00592AC5"/>
    <w:rsid w:val="005D28F1"/>
    <w:rsid w:val="006B04EF"/>
    <w:rsid w:val="007B263F"/>
    <w:rsid w:val="007C5B18"/>
    <w:rsid w:val="00801F1C"/>
    <w:rsid w:val="00926623"/>
    <w:rsid w:val="00C673EE"/>
    <w:rsid w:val="00DA41EF"/>
    <w:rsid w:val="00EB6A79"/>
    <w:rsid w:val="00EF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068C5"/>
  <w15:chartTrackingRefBased/>
  <w15:docId w15:val="{B9ADB3EA-54C4-414F-A1A3-673F60FB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A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A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A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A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A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A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A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A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A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A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A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A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A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36450eb-db06-42a7-8d1b-026719f701e3}" enabled="0" method="" siteId="{a36450eb-db06-42a7-8d1b-026719f701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2191</Characters>
  <Application>Microsoft Office Word</Application>
  <DocSecurity>0</DocSecurity>
  <Lines>36</Lines>
  <Paragraphs>8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 Wang</dc:creator>
  <cp:keywords/>
  <dc:description/>
  <cp:lastModifiedBy>Peng Wang</cp:lastModifiedBy>
  <cp:revision>4</cp:revision>
  <dcterms:created xsi:type="dcterms:W3CDTF">2026-05-28T20:14:00Z</dcterms:created>
  <dcterms:modified xsi:type="dcterms:W3CDTF">2026-05-28T20:15:00Z</dcterms:modified>
</cp:coreProperties>
</file>